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4FC091E"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4D767B">
        <w:rPr>
          <w:rFonts w:ascii="Arial" w:hAnsi="Arial" w:cs="Arial"/>
          <w:b/>
          <w:lang w:val="de-DE"/>
        </w:rPr>
        <w:t>8</w:t>
      </w:r>
      <w:r w:rsidRPr="002C213F">
        <w:rPr>
          <w:rFonts w:ascii="Arial" w:hAnsi="Arial" w:cs="Arial"/>
          <w:b/>
          <w:lang w:val="de-DE"/>
        </w:rPr>
        <w:tab/>
      </w:r>
      <w:r w:rsidRPr="002C213F">
        <w:rPr>
          <w:rFonts w:ascii="Arial" w:hAnsi="Arial" w:cs="Arial"/>
          <w:b/>
          <w:lang w:val="de-DE"/>
        </w:rPr>
        <w:tab/>
      </w:r>
      <w:r w:rsidR="00EA126D" w:rsidRPr="00EA126D">
        <w:rPr>
          <w:rFonts w:ascii="Arial" w:hAnsi="Arial" w:cs="Arial"/>
          <w:b/>
          <w:bCs/>
        </w:rPr>
        <w:t>R4-18</w:t>
      </w:r>
      <w:r w:rsidR="00A60163">
        <w:rPr>
          <w:rFonts w:ascii="Arial" w:hAnsi="Arial" w:cs="Arial"/>
          <w:b/>
          <w:bCs/>
        </w:rPr>
        <w:t>xxxxx</w:t>
      </w:r>
      <w:r>
        <w:rPr>
          <w:rFonts w:ascii="Arial" w:hAnsi="Arial" w:cs="Arial"/>
          <w:b/>
          <w:lang w:val="de-DE"/>
        </w:rPr>
        <w:br/>
      </w:r>
      <w:r w:rsidR="004D767B">
        <w:rPr>
          <w:rFonts w:ascii="Arial" w:hAnsi="Arial" w:cs="Arial"/>
          <w:b/>
        </w:rPr>
        <w:t>Gothenburg, Sweden, August 20 – 24, 2018</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58773E8F"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535C80" w:rsidRPr="00535C80">
        <w:rPr>
          <w:rFonts w:ascii="Arial" w:hAnsi="Arial" w:cs="Arial"/>
          <w:b/>
        </w:rPr>
        <w:t>7.6.16.3</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177B83AD"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A60163">
        <w:rPr>
          <w:rFonts w:ascii="Arial" w:hAnsi="Arial" w:cs="Arial"/>
          <w:b/>
        </w:rPr>
        <w:t xml:space="preserve">FR2 </w:t>
      </w:r>
      <w:r w:rsidR="00535C80">
        <w:rPr>
          <w:rFonts w:ascii="Arial" w:hAnsi="Arial" w:cs="Arial"/>
          <w:b/>
        </w:rPr>
        <w:t>beam correspondence</w:t>
      </w:r>
      <w:r w:rsidR="00A60163">
        <w:rPr>
          <w:rFonts w:ascii="Arial" w:hAnsi="Arial" w:cs="Arial"/>
          <w:b/>
        </w:rPr>
        <w:t xml:space="preserve"> </w:t>
      </w:r>
      <w:r w:rsidR="00E74008">
        <w:rPr>
          <w:rFonts w:ascii="Arial" w:hAnsi="Arial" w:cs="Arial"/>
          <w:b/>
        </w:rPr>
        <w:t>second adhoc</w:t>
      </w:r>
      <w:r w:rsidR="00A60163">
        <w:rPr>
          <w:rFonts w:ascii="Arial" w:hAnsi="Arial" w:cs="Arial"/>
          <w:b/>
        </w:rPr>
        <w:t xml:space="preserve"> minutes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340369">
        <w:rPr>
          <w:rFonts w:ascii="Arial" w:hAnsi="Arial" w:cs="Arial"/>
          <w:b/>
        </w:rPr>
        <w:t>Approval</w:t>
      </w:r>
    </w:p>
    <w:p w14:paraId="2634CF92" w14:textId="0066A389" w:rsidR="004B515E" w:rsidRDefault="00535C80" w:rsidP="00687778">
      <w:pPr>
        <w:pStyle w:val="Heading1"/>
      </w:pPr>
      <w:r>
        <w:t>Current agreements</w:t>
      </w:r>
    </w:p>
    <w:p w14:paraId="7C9C77A3" w14:textId="1D051C9A" w:rsidR="00535C80" w:rsidRPr="003E4E35" w:rsidRDefault="003E4E35" w:rsidP="00535C80">
      <w:pPr>
        <w:rPr>
          <w:b/>
          <w:lang w:val="en-GB"/>
        </w:rPr>
      </w:pPr>
      <w:r w:rsidRPr="003E4E35">
        <w:rPr>
          <w:b/>
          <w:lang w:val="en-GB"/>
        </w:rPr>
        <w:t>From UE RF Chairman’s minutes</w:t>
      </w:r>
      <w:r>
        <w:rPr>
          <w:b/>
          <w:lang w:val="en-GB"/>
        </w:rPr>
        <w:t xml:space="preserve"> </w:t>
      </w:r>
      <w:r>
        <w:rPr>
          <w:b/>
          <w:lang w:val="en-GB"/>
        </w:rPr>
        <w:fldChar w:fldCharType="begin"/>
      </w:r>
      <w:r>
        <w:rPr>
          <w:b/>
          <w:lang w:val="en-GB"/>
        </w:rPr>
        <w:instrText xml:space="preserve"> REF _Ref522865056 \r \h </w:instrText>
      </w:r>
      <w:r>
        <w:rPr>
          <w:b/>
          <w:lang w:val="en-GB"/>
        </w:rPr>
      </w:r>
      <w:r>
        <w:rPr>
          <w:b/>
          <w:lang w:val="en-GB"/>
        </w:rPr>
        <w:fldChar w:fldCharType="separate"/>
      </w:r>
      <w:r>
        <w:rPr>
          <w:b/>
          <w:lang w:val="en-GB"/>
        </w:rPr>
        <w:t>[9]</w:t>
      </w:r>
      <w:r>
        <w:rPr>
          <w:b/>
          <w:lang w:val="en-GB"/>
        </w:rPr>
        <w:fldChar w:fldCharType="end"/>
      </w:r>
      <w:r w:rsidRPr="003E4E35">
        <w:rPr>
          <w:lang w:val="en-GB"/>
        </w:rPr>
        <w:t>:</w:t>
      </w:r>
    </w:p>
    <w:p w14:paraId="4DCD07E8" w14:textId="77777777" w:rsidR="003E4E35" w:rsidRPr="003E4E35" w:rsidRDefault="003E4E35" w:rsidP="003E4E35">
      <w:pPr>
        <w:pStyle w:val="ListParagraph"/>
        <w:numPr>
          <w:ilvl w:val="0"/>
          <w:numId w:val="22"/>
        </w:numPr>
        <w:rPr>
          <w:rFonts w:eastAsia="Yu Mincho"/>
        </w:rPr>
      </w:pPr>
      <w:r w:rsidRPr="003E4E35">
        <w:rPr>
          <w:rFonts w:eastAsia="Yu Mincho" w:hint="eastAsia"/>
        </w:rPr>
        <w:t>T</w:t>
      </w:r>
      <w:r w:rsidRPr="003E4E35">
        <w:rPr>
          <w:rFonts w:eastAsia="Yu Mincho"/>
        </w:rPr>
        <w:t xml:space="preserve">he agreement for PC3: </w:t>
      </w:r>
    </w:p>
    <w:p w14:paraId="4DB531A9" w14:textId="04E5BF22" w:rsidR="003E4E35" w:rsidRPr="003E4E35" w:rsidRDefault="003E4E35" w:rsidP="003E4E35">
      <w:pPr>
        <w:pStyle w:val="ListParagraph"/>
        <w:numPr>
          <w:ilvl w:val="1"/>
          <w:numId w:val="22"/>
        </w:numPr>
        <w:rPr>
          <w:rFonts w:eastAsia="Yu Mincho"/>
        </w:rPr>
      </w:pPr>
      <w:r w:rsidRPr="003E4E35">
        <w:rPr>
          <w:rFonts w:eastAsia="Yu Mincho" w:hint="eastAsia"/>
        </w:rPr>
        <w:t>1</w:t>
      </w:r>
      <w:r w:rsidRPr="003E4E35">
        <w:rPr>
          <w:rFonts w:eastAsia="Yu Mincho"/>
          <w:vertAlign w:val="superscript"/>
        </w:rPr>
        <w:t>st</w:t>
      </w:r>
      <w:r w:rsidRPr="003E4E35">
        <w:rPr>
          <w:rFonts w:eastAsia="Yu Mincho"/>
        </w:rPr>
        <w:t xml:space="preserve"> approach: Study this and solve identified possible issues in Rel16. How to addr</w:t>
      </w:r>
      <w:r>
        <w:rPr>
          <w:rFonts w:eastAsia="Yu Mincho"/>
        </w:rPr>
        <w:t>e</w:t>
      </w:r>
      <w:r w:rsidRPr="003E4E35">
        <w:rPr>
          <w:rFonts w:eastAsia="Yu Mincho"/>
        </w:rPr>
        <w:t>ss this is further discuss in this meeting. Also other approaches should not be precluded.</w:t>
      </w:r>
    </w:p>
    <w:p w14:paraId="04E59E90" w14:textId="24552A41" w:rsidR="003E4E35" w:rsidRPr="003E4E35" w:rsidRDefault="003E4E35" w:rsidP="003E4E35">
      <w:pPr>
        <w:pStyle w:val="ListParagraph"/>
        <w:numPr>
          <w:ilvl w:val="1"/>
          <w:numId w:val="22"/>
        </w:numPr>
        <w:rPr>
          <w:rFonts w:eastAsia="Yu Mincho"/>
        </w:rPr>
      </w:pPr>
      <w:r w:rsidRPr="003E4E35">
        <w:rPr>
          <w:rFonts w:eastAsia="Yu Mincho" w:hint="eastAsia"/>
        </w:rPr>
        <w:t>2</w:t>
      </w:r>
      <w:r w:rsidRPr="003E4E35">
        <w:rPr>
          <w:rFonts w:eastAsia="Yu Mincho"/>
          <w:vertAlign w:val="superscript"/>
        </w:rPr>
        <w:t>nd</w:t>
      </w:r>
      <w:r w:rsidRPr="003E4E35">
        <w:rPr>
          <w:rFonts w:eastAsia="Yu Mincho"/>
        </w:rPr>
        <w:t xml:space="preserve"> approach: Specify this in Rel15</w:t>
      </w:r>
    </w:p>
    <w:p w14:paraId="03C6423A" w14:textId="7242B9FB" w:rsidR="003E4E35" w:rsidRPr="003E4E35" w:rsidRDefault="003E4E35" w:rsidP="003E4E35">
      <w:pPr>
        <w:pStyle w:val="ListParagraph"/>
        <w:numPr>
          <w:ilvl w:val="0"/>
          <w:numId w:val="22"/>
        </w:numPr>
      </w:pPr>
      <w:r w:rsidRPr="003E4E35">
        <w:rPr>
          <w:rFonts w:hint="eastAsia"/>
        </w:rPr>
        <w:t xml:space="preserve">Whether Beam correspondence UE capability is mandatory or not should be defined for </w:t>
      </w:r>
      <w:r w:rsidRPr="003E4E35">
        <w:t xml:space="preserve">PC basis </w:t>
      </w:r>
      <w:r w:rsidRPr="003E4E35">
        <w:rPr>
          <w:rFonts w:hint="eastAsia"/>
        </w:rPr>
        <w:t>FR2.</w:t>
      </w:r>
    </w:p>
    <w:p w14:paraId="7CE9E0BF" w14:textId="77777777" w:rsidR="003E4E35" w:rsidRPr="003E4E35" w:rsidRDefault="003E4E35" w:rsidP="00535C80">
      <w:pPr>
        <w:rPr>
          <w:lang w:val="en-GB"/>
        </w:rPr>
      </w:pPr>
    </w:p>
    <w:p w14:paraId="67E755C7" w14:textId="5D70C7A9" w:rsidR="003E4E35" w:rsidRPr="003E4E35" w:rsidRDefault="003E4E35" w:rsidP="00535C80">
      <w:pPr>
        <w:rPr>
          <w:b/>
          <w:lang w:val="en-GB"/>
        </w:rPr>
      </w:pPr>
      <w:r w:rsidRPr="003E4E35">
        <w:rPr>
          <w:b/>
          <w:lang w:val="en-GB"/>
        </w:rPr>
        <w:t>From Beam Correspondence adhoc</w:t>
      </w:r>
      <w:r>
        <w:rPr>
          <w:b/>
          <w:lang w:val="en-GB"/>
        </w:rPr>
        <w:t xml:space="preserve"> </w:t>
      </w:r>
      <w:r>
        <w:rPr>
          <w:b/>
          <w:lang w:val="en-GB"/>
        </w:rPr>
        <w:fldChar w:fldCharType="begin"/>
      </w:r>
      <w:r>
        <w:rPr>
          <w:b/>
          <w:lang w:val="en-GB"/>
        </w:rPr>
        <w:instrText xml:space="preserve"> REF _Ref522865067 \r \h </w:instrText>
      </w:r>
      <w:r>
        <w:rPr>
          <w:b/>
          <w:lang w:val="en-GB"/>
        </w:rPr>
      </w:r>
      <w:r>
        <w:rPr>
          <w:b/>
          <w:lang w:val="en-GB"/>
        </w:rPr>
        <w:fldChar w:fldCharType="separate"/>
      </w:r>
      <w:r>
        <w:rPr>
          <w:b/>
          <w:lang w:val="en-GB"/>
        </w:rPr>
        <w:t>[10]</w:t>
      </w:r>
      <w:r>
        <w:rPr>
          <w:b/>
          <w:lang w:val="en-GB"/>
        </w:rPr>
        <w:fldChar w:fldCharType="end"/>
      </w:r>
      <w:r w:rsidRPr="003E4E35">
        <w:rPr>
          <w:lang w:val="en-GB"/>
        </w:rPr>
        <w:t>:</w:t>
      </w:r>
    </w:p>
    <w:p w14:paraId="5340A163" w14:textId="77777777" w:rsidR="003E4E35" w:rsidRPr="003E4E35" w:rsidRDefault="003E4E35" w:rsidP="003E4E35">
      <w:pPr>
        <w:pStyle w:val="ListParagraph"/>
        <w:numPr>
          <w:ilvl w:val="0"/>
          <w:numId w:val="21"/>
        </w:numPr>
      </w:pPr>
      <w:r w:rsidRPr="003E4E35">
        <w:t xml:space="preserve">For PC3, beam correspondence is based on Approach 2 </w:t>
      </w:r>
    </w:p>
    <w:p w14:paraId="73016BDA" w14:textId="4AA88233" w:rsidR="003E4E35" w:rsidRPr="003E4E35" w:rsidRDefault="003E4E35" w:rsidP="003E4E35">
      <w:pPr>
        <w:pStyle w:val="ListParagraph"/>
        <w:numPr>
          <w:ilvl w:val="0"/>
          <w:numId w:val="21"/>
        </w:numPr>
      </w:pPr>
      <w:r w:rsidRPr="003E4E35">
        <w:t>For PC3, beam correspondence implies that both spherical coverage and minimum peak EIRP are met</w:t>
      </w:r>
    </w:p>
    <w:p w14:paraId="554CEFB9" w14:textId="77777777" w:rsidR="003E4E35" w:rsidRPr="003E4E35" w:rsidRDefault="003E4E35" w:rsidP="003E4E35">
      <w:pPr>
        <w:pStyle w:val="ListParagraph"/>
        <w:numPr>
          <w:ilvl w:val="0"/>
          <w:numId w:val="21"/>
        </w:numPr>
      </w:pPr>
      <w:r w:rsidRPr="003E4E35">
        <w:t>For Rel16, study to solve possible issues about Approach 1. Other approaches are not precluded.</w:t>
      </w:r>
    </w:p>
    <w:p w14:paraId="064D9AF8" w14:textId="77777777" w:rsidR="003E4E35" w:rsidRPr="003E4E35" w:rsidRDefault="003E4E35" w:rsidP="003E4E35">
      <w:pPr>
        <w:pStyle w:val="ListParagraph"/>
        <w:numPr>
          <w:ilvl w:val="0"/>
          <w:numId w:val="21"/>
        </w:numPr>
      </w:pPr>
      <w:r w:rsidRPr="003E4E35">
        <w:t>More offline discussion needed between the two options below:</w:t>
      </w:r>
    </w:p>
    <w:p w14:paraId="6A3EC06F" w14:textId="77777777" w:rsidR="003E4E35" w:rsidRPr="003E4E35" w:rsidRDefault="003E4E35" w:rsidP="003E4E35">
      <w:pPr>
        <w:pStyle w:val="ListParagraph"/>
        <w:numPr>
          <w:ilvl w:val="1"/>
          <w:numId w:val="21"/>
        </w:numPr>
        <w:overflowPunct w:val="0"/>
        <w:autoSpaceDE w:val="0"/>
        <w:autoSpaceDN w:val="0"/>
        <w:adjustRightInd w:val="0"/>
        <w:spacing w:after="180"/>
        <w:contextualSpacing/>
        <w:textAlignment w:val="baseline"/>
      </w:pPr>
      <w:r w:rsidRPr="003E4E35">
        <w:t>Option1: only SSB</w:t>
      </w:r>
    </w:p>
    <w:p w14:paraId="75975B0F" w14:textId="77777777" w:rsidR="003E4E35" w:rsidRDefault="003E4E35" w:rsidP="003E4E35">
      <w:pPr>
        <w:pStyle w:val="ListParagraph"/>
        <w:numPr>
          <w:ilvl w:val="1"/>
          <w:numId w:val="21"/>
        </w:numPr>
        <w:overflowPunct w:val="0"/>
        <w:autoSpaceDE w:val="0"/>
        <w:autoSpaceDN w:val="0"/>
        <w:adjustRightInd w:val="0"/>
        <w:spacing w:after="180"/>
        <w:contextualSpacing/>
        <w:textAlignment w:val="baseline"/>
      </w:pPr>
      <w:r w:rsidRPr="003E4E35">
        <w:t>Option2: both SSB and CSI-RS</w:t>
      </w:r>
    </w:p>
    <w:p w14:paraId="25164E4E" w14:textId="4A8D49EE" w:rsidR="003E4E35" w:rsidRPr="00F62478" w:rsidRDefault="003E4E35" w:rsidP="003E4E35">
      <w:pPr>
        <w:pStyle w:val="ListParagraph"/>
        <w:numPr>
          <w:ilvl w:val="0"/>
          <w:numId w:val="21"/>
        </w:numPr>
        <w:overflowPunct w:val="0"/>
        <w:autoSpaceDE w:val="0"/>
        <w:autoSpaceDN w:val="0"/>
        <w:adjustRightInd w:val="0"/>
        <w:spacing w:after="180"/>
        <w:contextualSpacing/>
        <w:textAlignment w:val="baseline"/>
      </w:pPr>
      <w:r w:rsidRPr="003E4E35">
        <w:t>Apple and Qualcomm will work on a combined draft CR based on what agreed above.</w:t>
      </w:r>
      <w:r>
        <w:t xml:space="preserve"> </w:t>
      </w:r>
    </w:p>
    <w:p w14:paraId="54C2C297" w14:textId="77777777" w:rsidR="003E4E35" w:rsidRDefault="003E4E35" w:rsidP="00535C80">
      <w:pPr>
        <w:rPr>
          <w:lang w:val="en-GB"/>
        </w:rPr>
      </w:pPr>
    </w:p>
    <w:p w14:paraId="7CE23305" w14:textId="1390FF5B" w:rsidR="003E4E35" w:rsidRPr="003E4E35" w:rsidRDefault="003E4E35" w:rsidP="00535C80">
      <w:pPr>
        <w:rPr>
          <w:b/>
          <w:lang w:val="en-GB"/>
        </w:rPr>
      </w:pPr>
      <w:r w:rsidRPr="003E4E35">
        <w:rPr>
          <w:b/>
          <w:lang w:val="en-GB"/>
        </w:rPr>
        <w:t>Discussion:</w:t>
      </w:r>
    </w:p>
    <w:p w14:paraId="0B5495B1" w14:textId="77777777" w:rsidR="00FC398D" w:rsidRPr="00535C80" w:rsidRDefault="00FC398D" w:rsidP="00535C80">
      <w:pPr>
        <w:rPr>
          <w:lang w:val="en-GB"/>
        </w:rPr>
      </w:pPr>
    </w:p>
    <w:p w14:paraId="022DEB65" w14:textId="28D199DB" w:rsidR="00D14C26" w:rsidRDefault="00535C80" w:rsidP="00F93EB0">
      <w:pPr>
        <w:pStyle w:val="Heading1"/>
      </w:pPr>
      <w:r>
        <w:t>Open issues</w:t>
      </w:r>
    </w:p>
    <w:p w14:paraId="3601D3F8" w14:textId="13A4DFC9" w:rsidR="003E4E35" w:rsidRDefault="003E4E35" w:rsidP="003E4E35">
      <w:pPr>
        <w:pStyle w:val="ListParagraph"/>
        <w:numPr>
          <w:ilvl w:val="0"/>
          <w:numId w:val="20"/>
        </w:numPr>
        <w:overflowPunct w:val="0"/>
        <w:autoSpaceDE w:val="0"/>
        <w:autoSpaceDN w:val="0"/>
        <w:adjustRightInd w:val="0"/>
        <w:spacing w:after="180"/>
        <w:contextualSpacing/>
        <w:textAlignment w:val="baseline"/>
      </w:pPr>
      <w:r>
        <w:t>Assumption on DL signal; Option 1 (only SSB) vs. Option 2 (both SSB and CSI-RS)</w:t>
      </w:r>
    </w:p>
    <w:p w14:paraId="038F0842" w14:textId="4A3BA236" w:rsidR="00C61478" w:rsidRDefault="00C61478" w:rsidP="003E4E35">
      <w:pPr>
        <w:pStyle w:val="ListParagraph"/>
        <w:numPr>
          <w:ilvl w:val="0"/>
          <w:numId w:val="20"/>
        </w:numPr>
        <w:overflowPunct w:val="0"/>
        <w:autoSpaceDE w:val="0"/>
        <w:autoSpaceDN w:val="0"/>
        <w:adjustRightInd w:val="0"/>
        <w:spacing w:after="180"/>
        <w:contextualSpacing/>
        <w:textAlignment w:val="baseline"/>
      </w:pPr>
      <w:r w:rsidRPr="00C61478">
        <w:t>The link does not use any SRS configuration</w:t>
      </w:r>
    </w:p>
    <w:p w14:paraId="0CB712D0" w14:textId="66596EE1" w:rsidR="006A64B0" w:rsidRDefault="006A64B0" w:rsidP="00162222">
      <w:pPr>
        <w:pStyle w:val="ListParagraph"/>
        <w:numPr>
          <w:ilvl w:val="0"/>
          <w:numId w:val="20"/>
        </w:numPr>
        <w:overflowPunct w:val="0"/>
        <w:autoSpaceDE w:val="0"/>
        <w:autoSpaceDN w:val="0"/>
        <w:adjustRightInd w:val="0"/>
        <w:spacing w:after="180"/>
        <w:contextualSpacing/>
        <w:textAlignment w:val="baseline"/>
      </w:pPr>
      <w:r>
        <w:t>Testability implications of including beam peak in BC requirement and potential EIRP CDF measurement grid optimization</w:t>
      </w:r>
    </w:p>
    <w:p w14:paraId="2A38F9B5" w14:textId="4D8BAF61" w:rsidR="006E4989" w:rsidRDefault="006E4989" w:rsidP="006E4989">
      <w:pPr>
        <w:pStyle w:val="ListParagraph"/>
        <w:numPr>
          <w:ilvl w:val="0"/>
          <w:numId w:val="20"/>
        </w:numPr>
        <w:overflowPunct w:val="0"/>
        <w:autoSpaceDE w:val="0"/>
        <w:autoSpaceDN w:val="0"/>
        <w:adjustRightInd w:val="0"/>
        <w:spacing w:after="180"/>
        <w:contextualSpacing/>
        <w:textAlignment w:val="baseline"/>
      </w:pPr>
      <w:r w:rsidRPr="0017623A">
        <w:t>The requirements shall be met with both UL polarizations active</w:t>
      </w:r>
    </w:p>
    <w:p w14:paraId="5D232C15" w14:textId="0A0FC63A" w:rsidR="003E4E35" w:rsidRPr="003E4E35" w:rsidRDefault="003E4E35" w:rsidP="00A60163">
      <w:pPr>
        <w:rPr>
          <w:b/>
          <w:lang w:val="en-GB"/>
        </w:rPr>
      </w:pPr>
      <w:r w:rsidRPr="003E4E35">
        <w:rPr>
          <w:b/>
          <w:lang w:val="en-GB"/>
        </w:rPr>
        <w:t>Discussion:</w:t>
      </w:r>
    </w:p>
    <w:p w14:paraId="56E0D510" w14:textId="52843052" w:rsidR="00857AB4" w:rsidRDefault="00857AB4" w:rsidP="00F3757D">
      <w:pPr>
        <w:rPr>
          <w:lang w:val="en-GB"/>
        </w:rPr>
      </w:pPr>
      <w:r>
        <w:rPr>
          <w:lang w:val="en-GB"/>
        </w:rPr>
        <w:t>DL signal aspects</w:t>
      </w:r>
    </w:p>
    <w:p w14:paraId="4AB9D8AE" w14:textId="77777777" w:rsidR="00F3757D" w:rsidRDefault="00F3757D" w:rsidP="00F3757D">
      <w:pPr>
        <w:rPr>
          <w:lang w:val="en-GB"/>
        </w:rPr>
      </w:pPr>
      <w:r>
        <w:rPr>
          <w:lang w:val="en-GB"/>
        </w:rPr>
        <w:t>Qualcomm: we are ok with Option 2</w:t>
      </w:r>
    </w:p>
    <w:p w14:paraId="3CA110D6" w14:textId="46CC4084" w:rsidR="003E4E35" w:rsidRDefault="00F3757D" w:rsidP="00A60163">
      <w:pPr>
        <w:rPr>
          <w:lang w:val="en-GB"/>
        </w:rPr>
      </w:pPr>
      <w:r>
        <w:rPr>
          <w:lang w:val="en-GB"/>
        </w:rPr>
        <w:t>Nokia: RAN1 has discussed these features, and both are mandatory; we prefer Option 1 and Option 2 jointly</w:t>
      </w:r>
    </w:p>
    <w:p w14:paraId="56BA5E9B" w14:textId="343A8A82" w:rsidR="00F3757D" w:rsidRDefault="00F3757D" w:rsidP="00A60163">
      <w:pPr>
        <w:rPr>
          <w:lang w:val="en-GB"/>
        </w:rPr>
      </w:pPr>
      <w:r>
        <w:rPr>
          <w:lang w:val="en-GB"/>
        </w:rPr>
        <w:t>Intel: we prefer Option 2; in a real network CSI-RS will be available; this is the best option for the UE perform beamforming based on this measurement; we can discuss how to define this</w:t>
      </w:r>
    </w:p>
    <w:p w14:paraId="47236731" w14:textId="714A8419" w:rsidR="00F3757D" w:rsidRDefault="00F3757D" w:rsidP="00A60163">
      <w:pPr>
        <w:rPr>
          <w:lang w:val="en-GB"/>
        </w:rPr>
      </w:pPr>
      <w:r>
        <w:rPr>
          <w:lang w:val="en-GB"/>
        </w:rPr>
        <w:t>Sony: we prefer Option 2 with both polarizations</w:t>
      </w:r>
    </w:p>
    <w:p w14:paraId="44E0708C" w14:textId="5BA89571" w:rsidR="00F3757D" w:rsidRDefault="00F3757D" w:rsidP="00A60163">
      <w:pPr>
        <w:rPr>
          <w:lang w:val="en-GB"/>
        </w:rPr>
      </w:pPr>
      <w:r>
        <w:rPr>
          <w:lang w:val="en-GB"/>
        </w:rPr>
        <w:lastRenderedPageBreak/>
        <w:t>Huawei: Option 2</w:t>
      </w:r>
    </w:p>
    <w:p w14:paraId="52BA99BC" w14:textId="78F4C2A9" w:rsidR="00F3757D" w:rsidRDefault="00F3757D" w:rsidP="00A60163">
      <w:pPr>
        <w:rPr>
          <w:lang w:val="en-GB"/>
        </w:rPr>
      </w:pPr>
      <w:r>
        <w:rPr>
          <w:lang w:val="en-GB"/>
        </w:rPr>
        <w:t>Apple: Option 2</w:t>
      </w:r>
    </w:p>
    <w:p w14:paraId="6D79E937" w14:textId="1188FB2D" w:rsidR="00F3757D" w:rsidRDefault="00F3757D" w:rsidP="00A60163">
      <w:pPr>
        <w:rPr>
          <w:lang w:val="en-GB"/>
        </w:rPr>
      </w:pPr>
      <w:r>
        <w:rPr>
          <w:lang w:val="en-GB"/>
        </w:rPr>
        <w:t>MediaTek: Option 2</w:t>
      </w:r>
    </w:p>
    <w:p w14:paraId="60DCCBF2" w14:textId="01EF4D06" w:rsidR="00F3757D" w:rsidRDefault="00F3757D" w:rsidP="00A60163">
      <w:pPr>
        <w:rPr>
          <w:lang w:val="en-GB"/>
        </w:rPr>
      </w:pPr>
      <w:r>
        <w:rPr>
          <w:lang w:val="en-GB"/>
        </w:rPr>
        <w:t>Nokia: just Option 1 is not acceptable; having requirements for both is ideal, but SSB alone is not OK for us</w:t>
      </w:r>
    </w:p>
    <w:p w14:paraId="4F18B547" w14:textId="10B3957A" w:rsidR="00F3757D" w:rsidRDefault="00F3757D" w:rsidP="00A60163">
      <w:pPr>
        <w:rPr>
          <w:lang w:val="en-GB"/>
        </w:rPr>
      </w:pPr>
      <w:r>
        <w:rPr>
          <w:lang w:val="en-GB"/>
        </w:rPr>
        <w:t xml:space="preserve">Ericsson: </w:t>
      </w:r>
      <w:r w:rsidR="00857AB4">
        <w:rPr>
          <w:lang w:val="en-GB"/>
        </w:rPr>
        <w:t>Option 2; we should rephrase to both SSB and/or CSI-RS</w:t>
      </w:r>
    </w:p>
    <w:p w14:paraId="27A8C5A8" w14:textId="6B8A3176" w:rsidR="00857AB4" w:rsidRDefault="00857AB4" w:rsidP="00A60163">
      <w:pPr>
        <w:rPr>
          <w:lang w:val="en-GB"/>
        </w:rPr>
      </w:pPr>
      <w:r>
        <w:rPr>
          <w:lang w:val="en-GB"/>
        </w:rPr>
        <w:t>Nokia: to Ericsson, ideally we would do SSB alone, CSI-RS alone, and then both; for us only SSB is not OK; perhaps we should list all that are acceptable</w:t>
      </w:r>
    </w:p>
    <w:p w14:paraId="547A1BD2" w14:textId="77777777" w:rsidR="00857AB4" w:rsidRDefault="00857AB4" w:rsidP="00A60163">
      <w:pPr>
        <w:rPr>
          <w:lang w:val="en-GB"/>
        </w:rPr>
      </w:pPr>
    </w:p>
    <w:p w14:paraId="2F986478" w14:textId="33921D5D" w:rsidR="00857AB4" w:rsidRDefault="00857AB4" w:rsidP="00A60163">
      <w:pPr>
        <w:rPr>
          <w:lang w:val="en-GB"/>
        </w:rPr>
      </w:pPr>
      <w:r>
        <w:rPr>
          <w:lang w:val="en-GB"/>
        </w:rPr>
        <w:t>Proposal: RAN4 will not define this requirement based on just SSB alone</w:t>
      </w:r>
    </w:p>
    <w:p w14:paraId="44282EA9" w14:textId="0B29886F" w:rsidR="00162222" w:rsidRDefault="00857AB4" w:rsidP="00A60163">
      <w:pPr>
        <w:rPr>
          <w:lang w:val="en-GB"/>
        </w:rPr>
      </w:pPr>
      <w:r>
        <w:rPr>
          <w:lang w:val="en-GB"/>
        </w:rPr>
        <w:t>Samsung: do we need to decide this meeting?</w:t>
      </w:r>
    </w:p>
    <w:p w14:paraId="390BCD38" w14:textId="77777777" w:rsidR="00857AB4" w:rsidRDefault="00857AB4" w:rsidP="00A60163">
      <w:pPr>
        <w:rPr>
          <w:lang w:val="en-GB"/>
        </w:rPr>
      </w:pPr>
    </w:p>
    <w:p w14:paraId="077D3E79" w14:textId="229D47EA" w:rsidR="00857AB4" w:rsidRDefault="00857AB4" w:rsidP="00A60163">
      <w:pPr>
        <w:rPr>
          <w:lang w:val="en-GB"/>
        </w:rPr>
      </w:pPr>
      <w:r>
        <w:rPr>
          <w:lang w:val="en-GB"/>
        </w:rPr>
        <w:t>SRS aspects</w:t>
      </w:r>
    </w:p>
    <w:p w14:paraId="6AD25895" w14:textId="343EA038" w:rsidR="00857AB4" w:rsidRDefault="00857AB4" w:rsidP="00A60163">
      <w:pPr>
        <w:rPr>
          <w:lang w:val="en-GB"/>
        </w:rPr>
      </w:pPr>
      <w:r>
        <w:rPr>
          <w:lang w:val="en-GB"/>
        </w:rPr>
        <w:t>Huawei: do we need this limitation? SRS can have many configurations</w:t>
      </w:r>
    </w:p>
    <w:p w14:paraId="6195436F" w14:textId="705CF4FB" w:rsidR="00857AB4" w:rsidRDefault="00857AB4" w:rsidP="00A60163">
      <w:pPr>
        <w:rPr>
          <w:lang w:val="en-GB"/>
        </w:rPr>
      </w:pPr>
      <w:r>
        <w:rPr>
          <w:lang w:val="en-GB"/>
        </w:rPr>
        <w:t xml:space="preserve">Nokia: </w:t>
      </w:r>
      <w:r w:rsidR="00196411">
        <w:rPr>
          <w:lang w:val="en-GB"/>
        </w:rPr>
        <w:t>regarding SRS, it is not always available in all conditions; we need requirements without SRS present; additional cases can also be considered</w:t>
      </w:r>
    </w:p>
    <w:p w14:paraId="2A82A0BB" w14:textId="77777777" w:rsidR="00196411" w:rsidRDefault="00196411" w:rsidP="00A60163">
      <w:pPr>
        <w:rPr>
          <w:lang w:val="en-GB"/>
        </w:rPr>
      </w:pPr>
    </w:p>
    <w:p w14:paraId="31B90075" w14:textId="15279035" w:rsidR="00B61CC4" w:rsidRDefault="00B61CC4" w:rsidP="00A60163">
      <w:pPr>
        <w:rPr>
          <w:lang w:val="en-GB"/>
        </w:rPr>
      </w:pPr>
      <w:r>
        <w:rPr>
          <w:lang w:val="en-GB"/>
        </w:rPr>
        <w:t>Testability aspects</w:t>
      </w:r>
    </w:p>
    <w:p w14:paraId="2153566E" w14:textId="4580A76B" w:rsidR="00B61CC4" w:rsidRDefault="00B61CC4" w:rsidP="00A60163">
      <w:pPr>
        <w:rPr>
          <w:lang w:val="en-GB"/>
        </w:rPr>
      </w:pPr>
      <w:r>
        <w:rPr>
          <w:lang w:val="en-GB"/>
        </w:rPr>
        <w:t xml:space="preserve">Intel: </w:t>
      </w:r>
      <w:r w:rsidR="001752ED">
        <w:rPr>
          <w:lang w:val="en-GB"/>
        </w:rPr>
        <w:t>thre is some difference in the settings for CDF and peak EIRP; if the settings are different, how can we ensure we achieve peak EIRP using the CDF measurement?</w:t>
      </w:r>
    </w:p>
    <w:p w14:paraId="48A03792" w14:textId="77777777" w:rsidR="001752ED" w:rsidRDefault="001752ED" w:rsidP="00A60163">
      <w:pPr>
        <w:rPr>
          <w:lang w:val="en-GB"/>
        </w:rPr>
      </w:pPr>
    </w:p>
    <w:p w14:paraId="73A3835E" w14:textId="37B319DD" w:rsidR="001752ED" w:rsidRDefault="001752ED" w:rsidP="00A60163">
      <w:pPr>
        <w:rPr>
          <w:lang w:val="en-GB"/>
        </w:rPr>
      </w:pPr>
      <w:r>
        <w:rPr>
          <w:lang w:val="en-GB"/>
        </w:rPr>
        <w:t>UL polarization aspects</w:t>
      </w:r>
    </w:p>
    <w:p w14:paraId="62F3A2A2" w14:textId="6CF3F42C" w:rsidR="001752ED" w:rsidRDefault="001752ED" w:rsidP="00A60163">
      <w:pPr>
        <w:rPr>
          <w:lang w:val="en-GB"/>
        </w:rPr>
      </w:pPr>
      <w:r>
        <w:rPr>
          <w:lang w:val="en-GB"/>
        </w:rPr>
        <w:t>Qualcomm: we would like more time to discuss this</w:t>
      </w:r>
    </w:p>
    <w:p w14:paraId="3A79D37B" w14:textId="470D120C" w:rsidR="00522F69" w:rsidRDefault="00535C80" w:rsidP="00522F69">
      <w:pPr>
        <w:pStyle w:val="Heading1"/>
      </w:pPr>
      <w:r>
        <w:t>Way forward</w:t>
      </w:r>
    </w:p>
    <w:p w14:paraId="61E59256" w14:textId="3F2BCA4E" w:rsidR="003E4E35" w:rsidRPr="003E4E35" w:rsidRDefault="003E4E35" w:rsidP="00B9532A">
      <w:pPr>
        <w:rPr>
          <w:b/>
        </w:rPr>
      </w:pPr>
      <w:r w:rsidRPr="003E4E35">
        <w:rPr>
          <w:b/>
        </w:rPr>
        <w:t>Discussion:</w:t>
      </w:r>
    </w:p>
    <w:p w14:paraId="0DFCDCBE" w14:textId="232F0B8E" w:rsidR="003E4E35" w:rsidRDefault="00A04492" w:rsidP="00B9532A">
      <w:r>
        <w:t>Qualcomm: if the draft CR cannot be done this meeting, then mabe we can have a short way forward to capture agreements and target approval of draft CR for next meeting</w:t>
      </w:r>
    </w:p>
    <w:p w14:paraId="21F3DB41" w14:textId="150AE335" w:rsidR="00A04492" w:rsidRDefault="00A04492" w:rsidP="00B9532A">
      <w:r>
        <w:t>Apple: this is a good idea; if we go to next meeting, then maybe we should inform RAN1 about our current agreements</w:t>
      </w:r>
    </w:p>
    <w:p w14:paraId="5EDB103D" w14:textId="77777777" w:rsidR="00A04492" w:rsidRDefault="00A04492" w:rsidP="00B9532A">
      <w:bookmarkStart w:id="2" w:name="_GoBack"/>
      <w:bookmarkEnd w:id="2"/>
    </w:p>
    <w:p w14:paraId="70A3828F" w14:textId="33E2A45A" w:rsidR="00062595" w:rsidRDefault="00062595" w:rsidP="00B9532A">
      <w:r>
        <w:t>Option 1: way forward document in RAN4</w:t>
      </w:r>
    </w:p>
    <w:p w14:paraId="4BD48AEE" w14:textId="29112EF8" w:rsidR="00062595" w:rsidRDefault="00062595" w:rsidP="00B9532A">
      <w:r>
        <w:t>Option 2: WF in RAN4 and LS to RAN1</w:t>
      </w:r>
    </w:p>
    <w:p w14:paraId="18C7ED02" w14:textId="77777777" w:rsidR="00062595" w:rsidRDefault="00062595" w:rsidP="00B9532A"/>
    <w:p w14:paraId="433D7DD5" w14:textId="76437BE9" w:rsidR="00062595" w:rsidRDefault="00062595" w:rsidP="00B9532A">
      <w:r>
        <w:t>LGE: for Option 2 what are the contents in the LS? Only capture current RAN4 agreements?</w:t>
      </w:r>
    </w:p>
    <w:p w14:paraId="763BFC1B" w14:textId="05640AAE" w:rsidR="00062595" w:rsidRDefault="00062595" w:rsidP="00B9532A">
      <w:r>
        <w:t xml:space="preserve">Apple: </w:t>
      </w:r>
      <w:r w:rsidR="0070212B">
        <w:t>we let them know that we continue working on this and also capture current agreements just for information</w:t>
      </w:r>
    </w:p>
    <w:p w14:paraId="28F62131" w14:textId="4441B41F" w:rsidR="0070212B" w:rsidRDefault="0070212B" w:rsidP="00B9532A">
      <w:r>
        <w:t>LGE: is it just to capture the agreements without mentioning capability?</w:t>
      </w:r>
    </w:p>
    <w:p w14:paraId="69FA5953" w14:textId="6ECE8D78" w:rsidR="0070212B" w:rsidRDefault="0070212B" w:rsidP="00B9532A">
      <w:r>
        <w:t>Apple: yes, no capability mention</w:t>
      </w:r>
    </w:p>
    <w:p w14:paraId="27A7E37A" w14:textId="163FB6F7" w:rsidR="0070212B" w:rsidRDefault="0070212B" w:rsidP="00B9532A">
      <w:r>
        <w:t>Qualcomm: we think the WF is more important, because we don’t have the requirement defined; if we want to send some information to RAN1, we are worried that we could confuse RAN1 more than clarify; we can have an LS, but maybe it should be very simple</w:t>
      </w:r>
    </w:p>
    <w:p w14:paraId="1AC86E64" w14:textId="2AE58A94" w:rsidR="0070212B" w:rsidRDefault="0070212B" w:rsidP="00B9532A">
      <w:r>
        <w:t>Apple: we agree</w:t>
      </w:r>
    </w:p>
    <w:p w14:paraId="255AE3E5" w14:textId="155E62F6" w:rsidR="0070212B" w:rsidRDefault="0070212B" w:rsidP="00B9532A">
      <w:r>
        <w:t>MediaTek: what would be the purpose of the LS? Are there issues that require RAN1 feedback?</w:t>
      </w:r>
    </w:p>
    <w:p w14:paraId="2F3B6A01" w14:textId="36EE1C88" w:rsidR="0070212B" w:rsidRDefault="0070212B" w:rsidP="00B9532A">
      <w:r>
        <w:t xml:space="preserve">Apple: </w:t>
      </w:r>
      <w:r w:rsidR="003E0133">
        <w:t>RAN1 is awaiting RAN4 input, because they are discussing feature list on BC; if we inform them that we are working on this requirement, then it may help them to have the status information</w:t>
      </w:r>
    </w:p>
    <w:p w14:paraId="07785AAE" w14:textId="77777777" w:rsidR="0070212B" w:rsidRDefault="0070212B" w:rsidP="00B9532A"/>
    <w:p w14:paraId="4302270F" w14:textId="759C47B8" w:rsidR="0070212B" w:rsidRDefault="0070212B" w:rsidP="00B9532A">
      <w:r w:rsidRPr="00282FCA">
        <w:rPr>
          <w:highlight w:val="green"/>
        </w:rPr>
        <w:t>Agreement</w:t>
      </w:r>
      <w:r>
        <w:t>: Qualcomm will prepare a WF, Apple will prepare an LS</w:t>
      </w:r>
    </w:p>
    <w:p w14:paraId="38AD26A9" w14:textId="77777777" w:rsidR="003E4E35" w:rsidRDefault="003E4E35" w:rsidP="00B9532A"/>
    <w:p w14:paraId="47BA569A" w14:textId="77777777" w:rsidR="0017048A" w:rsidRPr="002855B4" w:rsidRDefault="0017048A" w:rsidP="0017048A">
      <w:pPr>
        <w:pStyle w:val="Heading1"/>
        <w:numPr>
          <w:ilvl w:val="0"/>
          <w:numId w:val="0"/>
        </w:numPr>
        <w:rPr>
          <w:lang w:val="en-US"/>
        </w:rPr>
      </w:pPr>
      <w:r w:rsidRPr="002855B4">
        <w:lastRenderedPageBreak/>
        <w:t>References</w:t>
      </w:r>
    </w:p>
    <w:p w14:paraId="1220239E" w14:textId="4D69EE81" w:rsidR="00A60163" w:rsidRDefault="00535C80" w:rsidP="00A60163">
      <w:pPr>
        <w:widowControl w:val="0"/>
        <w:numPr>
          <w:ilvl w:val="0"/>
          <w:numId w:val="5"/>
        </w:numPr>
      </w:pPr>
      <w:r w:rsidRPr="00535C80">
        <w:t>R4-1809789</w:t>
      </w:r>
      <w:r>
        <w:t>, “</w:t>
      </w:r>
      <w:r w:rsidRPr="00535C80">
        <w:t>Views on Beam Correspondence</w:t>
      </w:r>
      <w:r>
        <w:t>,” Apple Inc.</w:t>
      </w:r>
    </w:p>
    <w:p w14:paraId="2DD487C9" w14:textId="0A2AA6DF" w:rsidR="00535C80" w:rsidRDefault="00535C80" w:rsidP="00A60163">
      <w:pPr>
        <w:widowControl w:val="0"/>
        <w:numPr>
          <w:ilvl w:val="0"/>
          <w:numId w:val="5"/>
        </w:numPr>
      </w:pPr>
      <w:r w:rsidRPr="00535C80">
        <w:t>R4-1809790</w:t>
      </w:r>
      <w:r>
        <w:t>, “</w:t>
      </w:r>
      <w:r w:rsidRPr="00535C80">
        <w:t>Draft CR to TS 38.101-2: Introduction of the requirement on beam correspondence</w:t>
      </w:r>
      <w:r>
        <w:t>,” Apple Inc.</w:t>
      </w:r>
    </w:p>
    <w:p w14:paraId="149A9AA0" w14:textId="3B3AEB58" w:rsidR="00535C80" w:rsidRDefault="00535C80" w:rsidP="00A60163">
      <w:pPr>
        <w:widowControl w:val="0"/>
        <w:numPr>
          <w:ilvl w:val="0"/>
          <w:numId w:val="5"/>
        </w:numPr>
      </w:pPr>
      <w:r w:rsidRPr="00535C80">
        <w:t>R4-1809839</w:t>
      </w:r>
      <w:r>
        <w:t>, “</w:t>
      </w:r>
      <w:r w:rsidRPr="00535C80">
        <w:t>Beam Correspondence in FR2</w:t>
      </w:r>
      <w:r>
        <w:t>,” Intel Corporation</w:t>
      </w:r>
    </w:p>
    <w:p w14:paraId="56209682" w14:textId="3A9F3B19" w:rsidR="00535C80" w:rsidRDefault="00535C80" w:rsidP="00A60163">
      <w:pPr>
        <w:widowControl w:val="0"/>
        <w:numPr>
          <w:ilvl w:val="0"/>
          <w:numId w:val="5"/>
        </w:numPr>
      </w:pPr>
      <w:r w:rsidRPr="00535C80">
        <w:t>R4-1810237</w:t>
      </w:r>
      <w:r>
        <w:t>, “F</w:t>
      </w:r>
      <w:r w:rsidRPr="00535C80">
        <w:t>R2 UE beam correspondence requirement</w:t>
      </w:r>
      <w:r>
        <w:t>,” MedaiTek</w:t>
      </w:r>
    </w:p>
    <w:p w14:paraId="41798B87" w14:textId="76BDF010" w:rsidR="00535C80" w:rsidRDefault="00535C80" w:rsidP="00A60163">
      <w:pPr>
        <w:widowControl w:val="0"/>
        <w:numPr>
          <w:ilvl w:val="0"/>
          <w:numId w:val="5"/>
        </w:numPr>
      </w:pPr>
      <w:r w:rsidRPr="00535C80">
        <w:t>R4-1810427</w:t>
      </w:r>
      <w:r>
        <w:t>, “</w:t>
      </w:r>
      <w:r w:rsidRPr="00535C80">
        <w:t>Relationship for the beam correspondence and spherical EIS requirements at FR2</w:t>
      </w:r>
      <w:r>
        <w:t>,” LGE</w:t>
      </w:r>
    </w:p>
    <w:p w14:paraId="0CFA3B34" w14:textId="56CE980F" w:rsidR="00535C80" w:rsidRDefault="00535C80" w:rsidP="00A60163">
      <w:pPr>
        <w:widowControl w:val="0"/>
        <w:numPr>
          <w:ilvl w:val="0"/>
          <w:numId w:val="5"/>
        </w:numPr>
      </w:pPr>
      <w:r w:rsidRPr="00535C80">
        <w:t>R4-1810429</w:t>
      </w:r>
      <w:r>
        <w:t>, “</w:t>
      </w:r>
      <w:r w:rsidRPr="00535C80">
        <w:t>CR for introducing of beam correspondence and spherical EIS RF requirements in TS38.101-2</w:t>
      </w:r>
      <w:r>
        <w:t>,” LGE</w:t>
      </w:r>
    </w:p>
    <w:p w14:paraId="1D18ADC1" w14:textId="46EE1262" w:rsidR="00535C80" w:rsidRDefault="00535C80" w:rsidP="00A60163">
      <w:pPr>
        <w:widowControl w:val="0"/>
        <w:numPr>
          <w:ilvl w:val="0"/>
          <w:numId w:val="5"/>
        </w:numPr>
      </w:pPr>
      <w:r w:rsidRPr="00535C80">
        <w:t>R4-1811020</w:t>
      </w:r>
      <w:r>
        <w:t>, “</w:t>
      </w:r>
      <w:r w:rsidRPr="00535C80">
        <w:t>Draft CR to 38.101-2: FR2 EIRP and Beam Correspondence Requirement</w:t>
      </w:r>
      <w:r>
        <w:t>,” Qualcomm</w:t>
      </w:r>
    </w:p>
    <w:p w14:paraId="289067E2" w14:textId="4C8E79E0" w:rsidR="00535C80" w:rsidRDefault="00535C80" w:rsidP="00A60163">
      <w:pPr>
        <w:widowControl w:val="0"/>
        <w:numPr>
          <w:ilvl w:val="0"/>
          <w:numId w:val="5"/>
        </w:numPr>
      </w:pPr>
      <w:r w:rsidRPr="00535C80">
        <w:t>R4-1811206</w:t>
      </w:r>
      <w:r>
        <w:t>, “</w:t>
      </w:r>
      <w:r w:rsidRPr="00535C80">
        <w:t>On beam correspondence for FR2</w:t>
      </w:r>
      <w:r>
        <w:t>,” Huawei, HiSilicon</w:t>
      </w:r>
    </w:p>
    <w:p w14:paraId="3697458C" w14:textId="27682ADE" w:rsidR="003E4E35" w:rsidRDefault="003E4E35" w:rsidP="003E4E35">
      <w:pPr>
        <w:widowControl w:val="0"/>
        <w:numPr>
          <w:ilvl w:val="0"/>
          <w:numId w:val="5"/>
        </w:numPr>
      </w:pPr>
      <w:bookmarkStart w:id="3" w:name="_Ref522865056"/>
      <w:r>
        <w:t>Draft RAN4 #88 UE RF Chairman’s minutes</w:t>
      </w:r>
      <w:bookmarkEnd w:id="3"/>
    </w:p>
    <w:p w14:paraId="49F163CD" w14:textId="69856795" w:rsidR="00535C80" w:rsidRDefault="003E4E35" w:rsidP="00A60163">
      <w:pPr>
        <w:widowControl w:val="0"/>
        <w:numPr>
          <w:ilvl w:val="0"/>
          <w:numId w:val="5"/>
        </w:numPr>
      </w:pPr>
      <w:bookmarkStart w:id="4" w:name="_Ref522865067"/>
      <w:r w:rsidRPr="003E4E35">
        <w:t>R4-1811523</w:t>
      </w:r>
      <w:r>
        <w:t>, “</w:t>
      </w:r>
      <w:r w:rsidRPr="003E4E35">
        <w:t>minutes for On beam correspondence</w:t>
      </w:r>
      <w:r>
        <w:t>,” Qualcomm</w:t>
      </w:r>
      <w:bookmarkEnd w:id="4"/>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2F3F8" w14:textId="77777777" w:rsidR="0016073A" w:rsidRDefault="0016073A">
      <w:r>
        <w:separator/>
      </w:r>
    </w:p>
  </w:endnote>
  <w:endnote w:type="continuationSeparator" w:id="0">
    <w:p w14:paraId="4C5B0E53" w14:textId="77777777" w:rsidR="0016073A" w:rsidRDefault="0016073A">
      <w:r>
        <w:continuationSeparator/>
      </w:r>
    </w:p>
  </w:endnote>
  <w:endnote w:type="continuationNotice" w:id="1">
    <w:p w14:paraId="53EC9ADB" w14:textId="77777777" w:rsidR="0016073A" w:rsidRDefault="00160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9F69C5" w:rsidRDefault="009F69C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9F69C5" w:rsidRDefault="009F69C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9F69C5" w:rsidRPr="00DB1239" w:rsidRDefault="009F69C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AEF99" w14:textId="77777777" w:rsidR="0016073A" w:rsidRDefault="0016073A">
      <w:r>
        <w:separator/>
      </w:r>
    </w:p>
  </w:footnote>
  <w:footnote w:type="continuationSeparator" w:id="0">
    <w:p w14:paraId="3D0B1E88" w14:textId="77777777" w:rsidR="0016073A" w:rsidRDefault="0016073A">
      <w:r>
        <w:continuationSeparator/>
      </w:r>
    </w:p>
  </w:footnote>
  <w:footnote w:type="continuationNotice" w:id="1">
    <w:p w14:paraId="66D181D4" w14:textId="77777777" w:rsidR="0016073A" w:rsidRDefault="001607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9F69C5" w:rsidRDefault="009F69C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9001D"/>
    <w:multiLevelType w:val="hybridMultilevel"/>
    <w:tmpl w:val="107E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C2CD3"/>
    <w:multiLevelType w:val="hybridMultilevel"/>
    <w:tmpl w:val="9E780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E82673D"/>
    <w:multiLevelType w:val="hybridMultilevel"/>
    <w:tmpl w:val="AAE6B0B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D970038"/>
    <w:multiLevelType w:val="hybridMultilevel"/>
    <w:tmpl w:val="13002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3"/>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
  </w:num>
  <w:num w:numId="8">
    <w:abstractNumId w:val="10"/>
  </w:num>
  <w:num w:numId="9">
    <w:abstractNumId w:val="17"/>
  </w:num>
  <w:num w:numId="10">
    <w:abstractNumId w:val="0"/>
  </w:num>
  <w:num w:numId="11">
    <w:abstractNumId w:val="1"/>
  </w:num>
  <w:num w:numId="12">
    <w:abstractNumId w:val="18"/>
  </w:num>
  <w:num w:numId="13">
    <w:abstractNumId w:val="19"/>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4"/>
  </w:num>
  <w:num w:numId="18">
    <w:abstractNumId w:val="16"/>
  </w:num>
  <w:num w:numId="19">
    <w:abstractNumId w:val="12"/>
  </w:num>
  <w:num w:numId="20">
    <w:abstractNumId w:val="11"/>
  </w:num>
  <w:num w:numId="21">
    <w:abstractNumId w:val="15"/>
  </w:num>
  <w:num w:numId="2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3CD6"/>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163"/>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61F6D9F-2CCF-0D4D-A284-2F4AE144B636}">
  <ds:schemaRefs>
    <ds:schemaRef ds:uri="http://schemas.openxmlformats.org/officeDocument/2006/bibliography"/>
  </ds:schemaRefs>
</ds:datastoreItem>
</file>

<file path=customXml/itemProps4.xml><?xml version="1.0" encoding="utf-8"?>
<ds:datastoreItem xmlns:ds="http://schemas.openxmlformats.org/officeDocument/2006/customXml" ds:itemID="{62BDD9A7-C505-4344-AFD7-E3B553A53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3</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2</cp:revision>
  <cp:lastPrinted>2017-11-08T23:02:00Z</cp:lastPrinted>
  <dcterms:created xsi:type="dcterms:W3CDTF">2018-08-24T09:10:00Z</dcterms:created>
  <dcterms:modified xsi:type="dcterms:W3CDTF">2018-08-24T09:10:00Z</dcterms:modified>
  <cp:category/>
</cp:coreProperties>
</file>